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2F7E" w14:textId="3A571D05" w:rsidR="00BC6FA4" w:rsidRDefault="0015762A" w:rsidP="00BC6FA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31721">
        <w:rPr>
          <w:rFonts w:ascii="Times New Roman" w:hAnsi="Times New Roman" w:cs="Times New Roman"/>
          <w:b/>
          <w:bCs/>
          <w:sz w:val="24"/>
          <w:szCs w:val="24"/>
        </w:rPr>
        <w:t xml:space="preserve"> Gusht</w:t>
      </w:r>
      <w:r w:rsidR="00BC6FA4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32E6089" w14:textId="77777777" w:rsidR="00BC6FA4" w:rsidRDefault="00BC6FA4" w:rsidP="00BC6F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E2880" w14:textId="253DE95D" w:rsidR="007F4D9D" w:rsidRPr="007F4D9D" w:rsidRDefault="007F4D9D" w:rsidP="00BC6F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D9D">
        <w:rPr>
          <w:rFonts w:ascii="Times New Roman" w:hAnsi="Times New Roman" w:cs="Times New Roman"/>
          <w:b/>
          <w:bCs/>
          <w:sz w:val="24"/>
          <w:szCs w:val="24"/>
        </w:rPr>
        <w:t>DEKLARATË PËR SHTYP</w:t>
      </w:r>
    </w:p>
    <w:p w14:paraId="3FE28E2F" w14:textId="77777777" w:rsidR="00BC6FA4" w:rsidRDefault="00BC6FA4" w:rsidP="00BC6F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49F67" w14:textId="224C9F0B" w:rsidR="007F4D9D" w:rsidRDefault="00F31721" w:rsidP="00BC6F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Mbi humbjen e jet</w:t>
      </w:r>
      <w:r w:rsidR="0044045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s s</w:t>
      </w:r>
      <w:r w:rsidR="0044045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shtetasit B.K n</w:t>
      </w:r>
      <w:r w:rsidR="00440452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ambientet e IEVP “Jordan Misja”</w:t>
      </w:r>
    </w:p>
    <w:p w14:paraId="33242F05" w14:textId="77777777" w:rsidR="007F4D9D" w:rsidRPr="007F4D9D" w:rsidRDefault="007F4D9D" w:rsidP="00BC6F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7FE0F" w14:textId="1A1B5778" w:rsidR="007F4D9D" w:rsidRDefault="007F4D9D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9D">
        <w:rPr>
          <w:rFonts w:ascii="Times New Roman" w:hAnsi="Times New Roman" w:cs="Times New Roman"/>
          <w:sz w:val="24"/>
          <w:szCs w:val="24"/>
        </w:rPr>
        <w:t>Sipas</w:t>
      </w:r>
      <w:r w:rsidR="00F31721">
        <w:rPr>
          <w:rFonts w:ascii="Times New Roman" w:hAnsi="Times New Roman" w:cs="Times New Roman"/>
          <w:sz w:val="24"/>
          <w:szCs w:val="24"/>
        </w:rPr>
        <w:t xml:space="preserve"> njoftimeve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publikuara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media 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26.07.2025, familjar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>t e shtetasit B.K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>rmes nj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letre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hapur b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>nin apel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>r hetimin e humbjes 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jet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>s 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tij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ambientet e paraburgimit “Jordan Misja”.</w:t>
      </w:r>
      <w:r w:rsidR="00BC6FA4">
        <w:rPr>
          <w:rFonts w:ascii="Times New Roman" w:hAnsi="Times New Roman" w:cs="Times New Roman"/>
          <w:sz w:val="24"/>
          <w:szCs w:val="24"/>
        </w:rPr>
        <w:t xml:space="preserve"> </w:t>
      </w:r>
      <w:r w:rsidRPr="007F4D9D">
        <w:rPr>
          <w:rFonts w:ascii="Times New Roman" w:hAnsi="Times New Roman" w:cs="Times New Roman"/>
          <w:sz w:val="24"/>
          <w:szCs w:val="24"/>
        </w:rPr>
        <w:t xml:space="preserve">Nisur nga </w:t>
      </w:r>
      <w:r w:rsidR="008D45EE">
        <w:rPr>
          <w:rFonts w:ascii="Times New Roman" w:hAnsi="Times New Roman" w:cs="Times New Roman"/>
          <w:sz w:val="24"/>
          <w:szCs w:val="24"/>
        </w:rPr>
        <w:t>ky njoftim</w:t>
      </w:r>
      <w:r w:rsidR="00BC6FA4">
        <w:rPr>
          <w:rFonts w:ascii="Times New Roman" w:hAnsi="Times New Roman" w:cs="Times New Roman"/>
          <w:sz w:val="24"/>
          <w:szCs w:val="24"/>
        </w:rPr>
        <w:t>,</w:t>
      </w:r>
      <w:r w:rsidRPr="007F4D9D">
        <w:rPr>
          <w:rFonts w:ascii="Times New Roman" w:hAnsi="Times New Roman" w:cs="Times New Roman"/>
          <w:sz w:val="24"/>
          <w:szCs w:val="24"/>
        </w:rPr>
        <w:t xml:space="preserve"> KShH në datën </w:t>
      </w:r>
      <w:r w:rsidR="00F31721">
        <w:rPr>
          <w:rFonts w:ascii="Times New Roman" w:hAnsi="Times New Roman" w:cs="Times New Roman"/>
          <w:sz w:val="24"/>
          <w:szCs w:val="24"/>
        </w:rPr>
        <w:t>29.07</w:t>
      </w:r>
      <w:r w:rsidRPr="007F4D9D">
        <w:rPr>
          <w:rFonts w:ascii="Times New Roman" w:hAnsi="Times New Roman" w:cs="Times New Roman"/>
          <w:sz w:val="24"/>
          <w:szCs w:val="24"/>
        </w:rPr>
        <w:t xml:space="preserve">.2025 </w:t>
      </w:r>
      <w:r w:rsidR="00F31721">
        <w:rPr>
          <w:rFonts w:ascii="Times New Roman" w:hAnsi="Times New Roman" w:cs="Times New Roman"/>
          <w:sz w:val="24"/>
          <w:szCs w:val="24"/>
        </w:rPr>
        <w:t>zhvilloi nj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monitorim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 ambientet e IEVP “Jordan Misja”, me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F31721">
        <w:rPr>
          <w:rFonts w:ascii="Times New Roman" w:hAnsi="Times New Roman" w:cs="Times New Roman"/>
          <w:sz w:val="24"/>
          <w:szCs w:val="24"/>
        </w:rPr>
        <w:t xml:space="preserve">llim verifikimin e </w:t>
      </w:r>
      <w:r w:rsidR="00C93A87">
        <w:rPr>
          <w:rFonts w:ascii="Times New Roman" w:hAnsi="Times New Roman" w:cs="Times New Roman"/>
          <w:sz w:val="24"/>
          <w:szCs w:val="24"/>
        </w:rPr>
        <w:t>ç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C93A87">
        <w:rPr>
          <w:rFonts w:ascii="Times New Roman" w:hAnsi="Times New Roman" w:cs="Times New Roman"/>
          <w:sz w:val="24"/>
          <w:szCs w:val="24"/>
        </w:rPr>
        <w:t>shtjeve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C93A87">
        <w:rPr>
          <w:rFonts w:ascii="Times New Roman" w:hAnsi="Times New Roman" w:cs="Times New Roman"/>
          <w:sz w:val="24"/>
          <w:szCs w:val="24"/>
        </w:rPr>
        <w:t xml:space="preserve"> ngritura nga familjar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C93A87">
        <w:rPr>
          <w:rFonts w:ascii="Times New Roman" w:hAnsi="Times New Roman" w:cs="Times New Roman"/>
          <w:sz w:val="24"/>
          <w:szCs w:val="24"/>
        </w:rPr>
        <w:t>t e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C93A87">
        <w:rPr>
          <w:rFonts w:ascii="Times New Roman" w:hAnsi="Times New Roman" w:cs="Times New Roman"/>
          <w:sz w:val="24"/>
          <w:szCs w:val="24"/>
        </w:rPr>
        <w:t xml:space="preserve"> ndjerit. </w:t>
      </w:r>
    </w:p>
    <w:p w14:paraId="4D6C7D99" w14:textId="77777777" w:rsidR="004D54A3" w:rsidRDefault="004D54A3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C7825" w14:textId="36B0FC5A" w:rsidR="004D54A3" w:rsidRDefault="004D54A3" w:rsidP="004D54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Shtetasi B.K, ishte akomoduar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IEVP “Jordan Misja” 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16.07.2025 dhe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momentin e pranimit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institucion kishte referuar se trajtohej</w:t>
      </w:r>
      <w:r w:rsidR="009B728E">
        <w:rPr>
          <w:rFonts w:ascii="Times New Roman" w:hAnsi="Times New Roman" w:cs="Times New Roman"/>
          <w:sz w:val="24"/>
          <w:szCs w:val="24"/>
        </w:rPr>
        <w:t xml:space="preserve"> p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9B728E">
        <w:rPr>
          <w:rFonts w:ascii="Times New Roman" w:hAnsi="Times New Roman" w:cs="Times New Roman"/>
          <w:sz w:val="24"/>
          <w:szCs w:val="24"/>
        </w:rPr>
        <w:t>r disa diagnoza</w:t>
      </w:r>
      <w:r w:rsidR="00B43BCD">
        <w:rPr>
          <w:rFonts w:ascii="Times New Roman" w:hAnsi="Times New Roman" w:cs="Times New Roman"/>
          <w:sz w:val="24"/>
          <w:szCs w:val="24"/>
        </w:rPr>
        <w:t xml:space="preserve"> komplekse si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22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Diabet Mellitus tip. 2, nën insulin, HTA st. IIII, Dislipidemi.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4A3">
        <w:rPr>
          <w:rFonts w:ascii="Times New Roman" w:hAnsi="Times New Roman" w:cs="Times New Roman"/>
          <w:sz w:val="24"/>
          <w:szCs w:val="24"/>
        </w:rPr>
        <w:t>Gjithashtu referon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D54A3">
        <w:rPr>
          <w:rFonts w:ascii="Times New Roman" w:hAnsi="Times New Roman" w:cs="Times New Roman"/>
          <w:sz w:val="24"/>
          <w:szCs w:val="24"/>
        </w:rPr>
        <w:t xml:space="preserve"> se para 6 muajsh k</w:t>
      </w:r>
      <w:r>
        <w:rPr>
          <w:rFonts w:ascii="Times New Roman" w:hAnsi="Times New Roman" w:cs="Times New Roman"/>
          <w:sz w:val="24"/>
          <w:szCs w:val="24"/>
        </w:rPr>
        <w:t>ishte</w:t>
      </w:r>
      <w:r w:rsidRPr="004D54A3">
        <w:rPr>
          <w:rFonts w:ascii="Times New Roman" w:hAnsi="Times New Roman" w:cs="Times New Roman"/>
          <w:sz w:val="24"/>
          <w:szCs w:val="24"/>
        </w:rPr>
        <w:t xml:space="preserve"> kaluar </w:t>
      </w:r>
      <w:r w:rsidRPr="00122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AVC ischemic akut</w:t>
      </w:r>
      <w:r w:rsidR="009573FD">
        <w:rPr>
          <w:rFonts w:ascii="Times New Roman" w:hAnsi="Times New Roman" w:cs="Times New Roman"/>
          <w:sz w:val="24"/>
          <w:szCs w:val="24"/>
        </w:rPr>
        <w:t>.</w:t>
      </w:r>
    </w:p>
    <w:p w14:paraId="17466E5B" w14:textId="77777777" w:rsidR="00BC6FA4" w:rsidRDefault="00BC6FA4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2067C" w14:textId="31D3A290" w:rsidR="009573FD" w:rsidRDefault="009573FD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Rezulton se, gjat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akomodimit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(sipas sh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nimit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Kartel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Mjek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18.07.2025), shtetasi B.K kishte paraqitur ankesa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dhimbje koke, dob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trupore dhe djegie. Nga kqyrja e dokumentacionit u konstatua se ankesa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tilla </w:t>
      </w:r>
      <w:r w:rsidR="009E30A0">
        <w:rPr>
          <w:rFonts w:ascii="Times New Roman" w:hAnsi="Times New Roman" w:cs="Times New Roman"/>
          <w:sz w:val="24"/>
          <w:szCs w:val="24"/>
        </w:rPr>
        <w:t>ishin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vazhdueshme.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arsye, 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21.07.2025, shtetasi B.K ishte transferuar nga Godina A ku kishte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ndruar deri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moment, drejt Godin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B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institucionit,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kushteve 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akomodimit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ofron. </w:t>
      </w:r>
    </w:p>
    <w:p w14:paraId="53C564BD" w14:textId="77777777" w:rsidR="009573FD" w:rsidRDefault="009573FD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96670" w14:textId="081DA5F0" w:rsidR="009573FD" w:rsidRDefault="003C2648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paraburgosuri ishte vendosur fillimisht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dhom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nr. 2, bashk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3 shtetas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por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gjendjes jo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shqet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simeve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paraqiste, ishte transferuar 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rish, 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saj here drejt dhom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="001228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nr. 6, ku kishte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ndruar i vet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m. Gjendja e tij jo e mir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rezulton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dukshme edhe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punonj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e policis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sektor, pasi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22.07.2025,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Librin e L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nies 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Detyrave, nga Specialisti i Policis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G.R, ishte l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nimi: </w:t>
      </w:r>
      <w:r w:rsidRPr="003C2648">
        <w:rPr>
          <w:rFonts w:ascii="Times New Roman" w:hAnsi="Times New Roman" w:cs="Times New Roman"/>
          <w:i/>
          <w:iCs/>
          <w:sz w:val="24"/>
          <w:szCs w:val="24"/>
        </w:rPr>
        <w:t>Të mbahet nën vëzhgim vazhdimisht i paraburgosuri i dhomës nr. 6, kati -1, sektori 2, B.K e të informohet specialisti i informacionit për çdo shqetësim.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2648">
        <w:rPr>
          <w:rFonts w:ascii="Times New Roman" w:hAnsi="Times New Roman" w:cs="Times New Roman"/>
          <w:sz w:val="24"/>
          <w:szCs w:val="24"/>
        </w:rPr>
        <w:t>Megjithat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 w:rsidRPr="003C26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nga verifikimet e KShH-s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u konstatua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9FB">
        <w:rPr>
          <w:rFonts w:ascii="Times New Roman" w:hAnsi="Times New Roman" w:cs="Times New Roman"/>
          <w:sz w:val="24"/>
          <w:szCs w:val="24"/>
        </w:rPr>
        <w:t>ishin mbajtur praktika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16708C">
        <w:rPr>
          <w:rFonts w:ascii="Times New Roman" w:hAnsi="Times New Roman" w:cs="Times New Roman"/>
          <w:sz w:val="24"/>
          <w:szCs w:val="24"/>
        </w:rPr>
        <w:t xml:space="preserve"> dokumentuar</w:t>
      </w:r>
      <w:r w:rsidR="003149FB">
        <w:rPr>
          <w:rFonts w:ascii="Times New Roman" w:hAnsi="Times New Roman" w:cs="Times New Roman"/>
          <w:sz w:val="24"/>
          <w:szCs w:val="24"/>
        </w:rPr>
        <w:t>a p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149FB">
        <w:rPr>
          <w:rFonts w:ascii="Times New Roman" w:hAnsi="Times New Roman" w:cs="Times New Roman"/>
          <w:sz w:val="24"/>
          <w:szCs w:val="24"/>
        </w:rPr>
        <w:t>r</w:t>
      </w:r>
      <w:r w:rsidR="0016708C">
        <w:rPr>
          <w:rFonts w:ascii="Times New Roman" w:hAnsi="Times New Roman" w:cs="Times New Roman"/>
          <w:sz w:val="24"/>
          <w:szCs w:val="24"/>
        </w:rPr>
        <w:t xml:space="preserve"> </w:t>
      </w:r>
      <w:r w:rsidR="00D250B3">
        <w:rPr>
          <w:rFonts w:ascii="Times New Roman" w:hAnsi="Times New Roman" w:cs="Times New Roman"/>
          <w:sz w:val="24"/>
          <w:szCs w:val="24"/>
        </w:rPr>
        <w:t>hapat e ndjekur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mbajtjen e shtetasit B.K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v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zhgim.</w:t>
      </w:r>
      <w:r w:rsidR="00DC2625">
        <w:rPr>
          <w:rFonts w:ascii="Times New Roman" w:hAnsi="Times New Roman" w:cs="Times New Roman"/>
          <w:sz w:val="24"/>
          <w:szCs w:val="24"/>
        </w:rPr>
        <w:t xml:space="preserve"> Kjo mund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dal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vet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>m nga nj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verifikim i kujdessh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>m i kamerave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siguris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vendosura n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DC2625">
        <w:rPr>
          <w:rFonts w:ascii="Times New Roman" w:hAnsi="Times New Roman" w:cs="Times New Roman"/>
          <w:sz w:val="24"/>
          <w:szCs w:val="24"/>
        </w:rPr>
        <w:t xml:space="preserve"> korridorin ku ndodhej dhoma ku i paraburgosuri ishte akomoduar. </w:t>
      </w:r>
    </w:p>
    <w:p w14:paraId="31C394F0" w14:textId="77777777" w:rsidR="003C2648" w:rsidRDefault="003C2648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8999A" w14:textId="725BB279" w:rsidR="003C2648" w:rsidRDefault="002F7386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mjen e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23.07.2025,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Librin e aktivitetit 24 or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 ishin mbajtur sh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nime se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20:45, i paraburgosuri B.K ishte pa qejf.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21:00 dhe 22:05 kishte shkuar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dhom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tij ndihm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mjekja e cila i kishte matur tensionin. Rezulton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prej 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momenti,</w:t>
      </w:r>
      <w:r w:rsidR="006169EE">
        <w:rPr>
          <w:rFonts w:ascii="Times New Roman" w:hAnsi="Times New Roman" w:cs="Times New Roman"/>
          <w:sz w:val="24"/>
          <w:szCs w:val="24"/>
        </w:rPr>
        <w:t xml:space="preserve"> p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6169EE">
        <w:rPr>
          <w:rFonts w:ascii="Times New Roman" w:hAnsi="Times New Roman" w:cs="Times New Roman"/>
          <w:sz w:val="24"/>
          <w:szCs w:val="24"/>
        </w:rPr>
        <w:t>r afro 9 or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deri 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ngjesin e nes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</w:t>
      </w:r>
      <w:r w:rsidR="00D250B3">
        <w:rPr>
          <w:rFonts w:ascii="Times New Roman" w:hAnsi="Times New Roman" w:cs="Times New Roman"/>
          <w:sz w:val="24"/>
          <w:szCs w:val="24"/>
        </w:rPr>
        <w:t xml:space="preserve"> kur 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D250B3">
        <w:rPr>
          <w:rFonts w:ascii="Times New Roman" w:hAnsi="Times New Roman" w:cs="Times New Roman"/>
          <w:sz w:val="24"/>
          <w:szCs w:val="24"/>
        </w:rPr>
        <w:t>sht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D250B3">
        <w:rPr>
          <w:rFonts w:ascii="Times New Roman" w:hAnsi="Times New Roman" w:cs="Times New Roman"/>
          <w:sz w:val="24"/>
          <w:szCs w:val="24"/>
        </w:rPr>
        <w:t xml:space="preserve"> gjetur</w:t>
      </w:r>
      <w:r w:rsidR="0040251E">
        <w:rPr>
          <w:rFonts w:ascii="Times New Roman" w:hAnsi="Times New Roman" w:cs="Times New Roman"/>
          <w:sz w:val="24"/>
          <w:szCs w:val="24"/>
        </w:rPr>
        <w:t xml:space="preserve"> pa ndjenja</w:t>
      </w:r>
      <w:r>
        <w:rPr>
          <w:rFonts w:ascii="Times New Roman" w:hAnsi="Times New Roman" w:cs="Times New Roman"/>
          <w:sz w:val="24"/>
          <w:szCs w:val="24"/>
        </w:rPr>
        <w:t xml:space="preserve"> nuk </w:t>
      </w:r>
      <w:r w:rsidR="00550BB2">
        <w:rPr>
          <w:rFonts w:ascii="Times New Roman" w:hAnsi="Times New Roman" w:cs="Times New Roman"/>
          <w:sz w:val="24"/>
          <w:szCs w:val="24"/>
        </w:rPr>
        <w:t>ka asnj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praktik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q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dokumentoj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njoftimin e m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>tejsh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>m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gjendjes s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 tij sh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>ndet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550BB2">
        <w:rPr>
          <w:rFonts w:ascii="Times New Roman" w:hAnsi="Times New Roman" w:cs="Times New Roman"/>
          <w:sz w:val="24"/>
          <w:szCs w:val="24"/>
        </w:rPr>
        <w:t xml:space="preserve">sore </w:t>
      </w:r>
      <w:r>
        <w:rPr>
          <w:rFonts w:ascii="Times New Roman" w:hAnsi="Times New Roman" w:cs="Times New Roman"/>
          <w:sz w:val="24"/>
          <w:szCs w:val="24"/>
        </w:rPr>
        <w:t>nga ana e stafit policor apo atij sh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sor. </w:t>
      </w:r>
    </w:p>
    <w:p w14:paraId="1B934AD2" w14:textId="77777777" w:rsidR="002F7386" w:rsidRDefault="002F7386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F879" w14:textId="6ACF9DBC" w:rsidR="002F7386" w:rsidRPr="00122856" w:rsidRDefault="002F7386" w:rsidP="00BC6FA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Punonj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e turnit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7:00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24.07.2025 kishin konstatuar se shtetasi B.K i akomoduar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dhom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nr. 6 nuk reagonte kur i flisnin. Ishte lajm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ruar menj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si dhe ndihm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mjekja, e cila kishte hyr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dhom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07:03.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07:05 ishte kryer </w:t>
      </w:r>
      <w:r>
        <w:rPr>
          <w:rFonts w:ascii="Times New Roman" w:hAnsi="Times New Roman" w:cs="Times New Roman"/>
          <w:sz w:val="24"/>
          <w:szCs w:val="24"/>
        </w:rPr>
        <w:lastRenderedPageBreak/>
        <w:t>shoq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rimi i tij drejt urgjenc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QSUT-s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ku prej mjekut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urgjenc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ishte konkluduar se i paraburgosur</w:t>
      </w:r>
      <w:r w:rsidR="0012285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B.K kishte b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Exitus letatis (vdekje) me diagnoz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n: </w:t>
      </w:r>
      <w:r w:rsidRPr="00122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Suspect Arrest Kardiak.</w:t>
      </w:r>
    </w:p>
    <w:p w14:paraId="78B18CCD" w14:textId="77777777" w:rsidR="002F7386" w:rsidRDefault="002F7386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830BF" w14:textId="26ADF1F9" w:rsidR="002F7386" w:rsidRDefault="002F7386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monitorimi i m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rm, rezulton se shtetasi ka q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ndruar i akomoduar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IEVP “Jordan Misja”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rreth 8 dit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por pavar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rkesave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ritura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tu d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rguar n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spital, nj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till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ishte realizuar p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se sipas konstatimeve t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personelit mjek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 parametrat e tij ishin normal</w:t>
      </w:r>
      <w:r w:rsidR="004404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isht</w:t>
      </w:r>
      <w:r w:rsidR="004404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452">
        <w:rPr>
          <w:rFonts w:ascii="Times New Roman" w:hAnsi="Times New Roman" w:cs="Times New Roman"/>
          <w:sz w:val="24"/>
          <w:szCs w:val="24"/>
        </w:rPr>
        <w:t xml:space="preserve">rekomanduar kryerja e ekzaminimeve laboratorike të tij në vijim. </w:t>
      </w:r>
      <w:r w:rsidR="003A7F94">
        <w:rPr>
          <w:rFonts w:ascii="Times New Roman" w:hAnsi="Times New Roman" w:cs="Times New Roman"/>
          <w:sz w:val="24"/>
          <w:szCs w:val="24"/>
        </w:rPr>
        <w:t>Mgjth, KShH ngre pik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>pyetje p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>r faktin q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 xml:space="preserve"> diagnozat komplekse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 xml:space="preserve"> k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>tij shtetasi si dhe vuajtjet e tij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 xml:space="preserve"> vazhdueshme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A7F94">
        <w:rPr>
          <w:rFonts w:ascii="Times New Roman" w:hAnsi="Times New Roman" w:cs="Times New Roman"/>
          <w:sz w:val="24"/>
          <w:szCs w:val="24"/>
        </w:rPr>
        <w:t xml:space="preserve"> komfirmuara edhe nga </w:t>
      </w:r>
      <w:r w:rsidR="00000C93">
        <w:rPr>
          <w:rFonts w:ascii="Times New Roman" w:hAnsi="Times New Roman" w:cs="Times New Roman"/>
          <w:sz w:val="24"/>
          <w:szCs w:val="24"/>
        </w:rPr>
        <w:t>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paraburgosurit q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ndan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dhom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>n me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>, k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>rkonin nj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reagim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shpejt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p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>r ekzaminim dhe trajtim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specializuar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 xml:space="preserve"> tij</w:t>
      </w:r>
      <w:r w:rsidR="000E0764">
        <w:rPr>
          <w:rFonts w:ascii="Times New Roman" w:hAnsi="Times New Roman" w:cs="Times New Roman"/>
          <w:sz w:val="24"/>
          <w:szCs w:val="24"/>
        </w:rPr>
        <w:t xml:space="preserve"> menj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 w:rsidR="000E0764">
        <w:rPr>
          <w:rFonts w:ascii="Times New Roman" w:hAnsi="Times New Roman" w:cs="Times New Roman"/>
          <w:sz w:val="24"/>
          <w:szCs w:val="24"/>
        </w:rPr>
        <w:t>her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 w:rsidR="000E0764">
        <w:rPr>
          <w:rFonts w:ascii="Times New Roman" w:hAnsi="Times New Roman" w:cs="Times New Roman"/>
          <w:sz w:val="24"/>
          <w:szCs w:val="24"/>
        </w:rPr>
        <w:t xml:space="preserve"> pas pranimit t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 w:rsidR="000E0764">
        <w:rPr>
          <w:rFonts w:ascii="Times New Roman" w:hAnsi="Times New Roman" w:cs="Times New Roman"/>
          <w:sz w:val="24"/>
          <w:szCs w:val="24"/>
        </w:rPr>
        <w:t xml:space="preserve"> tij n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 w:rsidR="000E0764">
        <w:rPr>
          <w:rFonts w:ascii="Times New Roman" w:hAnsi="Times New Roman" w:cs="Times New Roman"/>
          <w:sz w:val="24"/>
          <w:szCs w:val="24"/>
        </w:rPr>
        <w:t xml:space="preserve"> IEVP</w:t>
      </w:r>
      <w:r w:rsidR="00000C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E635A" w14:textId="77777777" w:rsidR="00440452" w:rsidRDefault="00440452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C7542" w14:textId="305E6C74" w:rsidR="0040274F" w:rsidRDefault="00440452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KShH </w:t>
      </w:r>
      <w:r w:rsidR="00000C93">
        <w:rPr>
          <w:rFonts w:ascii="Times New Roman" w:hAnsi="Times New Roman" w:cs="Times New Roman"/>
          <w:sz w:val="24"/>
          <w:szCs w:val="24"/>
        </w:rPr>
        <w:t>v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000C93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se ekzaminim</w:t>
      </w:r>
      <w:r w:rsidR="008037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dhe mbik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qyrja e vazhdueshme e gj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ndjes sh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shtetasve q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akomodohen n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ambientet e institucioneve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privimit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liris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sht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detyrim q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buro</w:t>
      </w:r>
      <w:r w:rsidR="00803799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edhe nga nenet 15 dhe 20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Rregullores s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rgjithshme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Burgjeve, pik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risht me q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 parandalimin e rasteve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humbjes s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apo vet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vrasjeve. Sh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 i kujdesit sh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 duhet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sigurohet 24 or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n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s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mundjesh</w:t>
      </w:r>
      <w:r w:rsidR="001228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nuk mund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diagnostikohen apo kurohen n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institucione, shtetasve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burgosur u njihet e drejta e transferimit pran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Qendr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Spitalore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Burgjeve apo </w:t>
      </w:r>
      <w:r w:rsidRPr="00440452">
        <w:rPr>
          <w:rFonts w:ascii="Times New Roman" w:hAnsi="Times New Roman" w:cs="Times New Roman"/>
          <w:sz w:val="24"/>
          <w:szCs w:val="24"/>
        </w:rPr>
        <w:t>Qendrë</w:t>
      </w:r>
      <w:r w:rsidR="00122856">
        <w:rPr>
          <w:rFonts w:ascii="Times New Roman" w:hAnsi="Times New Roman" w:cs="Times New Roman"/>
          <w:sz w:val="24"/>
          <w:szCs w:val="24"/>
        </w:rPr>
        <w:t>s</w:t>
      </w:r>
      <w:r w:rsidRPr="00440452">
        <w:rPr>
          <w:rFonts w:ascii="Times New Roman" w:hAnsi="Times New Roman" w:cs="Times New Roman"/>
          <w:sz w:val="24"/>
          <w:szCs w:val="24"/>
        </w:rPr>
        <w:t xml:space="preserve"> Spitalore Universitare Tiranë</w:t>
      </w:r>
      <w:r>
        <w:rPr>
          <w:rFonts w:ascii="Times New Roman" w:hAnsi="Times New Roman" w:cs="Times New Roman"/>
          <w:sz w:val="24"/>
          <w:szCs w:val="24"/>
        </w:rPr>
        <w:t>. Referuar parashikimeve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nenit 41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ligjit nr. </w:t>
      </w:r>
      <w:r w:rsidR="00803799">
        <w:rPr>
          <w:rFonts w:ascii="Times New Roman" w:hAnsi="Times New Roman" w:cs="Times New Roman"/>
          <w:sz w:val="24"/>
          <w:szCs w:val="24"/>
        </w:rPr>
        <w:t>81/2020, personeli mjek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sor i IEVP-ve ka detyr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n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evidentoj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dhe njoftoj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menj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her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p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r s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mundjet q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k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>rkojn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trajtim t</w:t>
      </w:r>
      <w:r w:rsidR="00122856">
        <w:rPr>
          <w:rFonts w:ascii="Times New Roman" w:hAnsi="Times New Roman" w:cs="Times New Roman"/>
          <w:sz w:val="24"/>
          <w:szCs w:val="24"/>
        </w:rPr>
        <w:t>ë</w:t>
      </w:r>
      <w:r w:rsidR="00803799">
        <w:rPr>
          <w:rFonts w:ascii="Times New Roman" w:hAnsi="Times New Roman" w:cs="Times New Roman"/>
          <w:sz w:val="24"/>
          <w:szCs w:val="24"/>
        </w:rPr>
        <w:t xml:space="preserve"> specializuar. </w:t>
      </w:r>
    </w:p>
    <w:p w14:paraId="4F18A54C" w14:textId="77777777" w:rsidR="00E45D3B" w:rsidRDefault="00E45D3B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739D" w14:textId="06E47218" w:rsidR="00E45D3B" w:rsidRDefault="00E45D3B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drejtim vlen 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rmendim edhe standartet e elaboruara nga jurisprudenca e Gjykat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Strasburgut, e cila </w:t>
      </w:r>
      <w:r w:rsidR="0086260F">
        <w:rPr>
          <w:rFonts w:ascii="Times New Roman" w:hAnsi="Times New Roman" w:cs="Times New Roman"/>
          <w:sz w:val="24"/>
          <w:szCs w:val="24"/>
        </w:rPr>
        <w:t>pavar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>sisht se v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>ren se “p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>rshtatshm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>ria</w:t>
      </w:r>
      <w:r w:rsidRPr="00E45D3B">
        <w:rPr>
          <w:rFonts w:ascii="Times New Roman" w:hAnsi="Times New Roman" w:cs="Times New Roman"/>
          <w:sz w:val="24"/>
          <w:szCs w:val="24"/>
        </w:rPr>
        <w:t>" e ndihmës mjekësore mbetet elementi më i vështirë për t'u përcaktuar</w:t>
      </w:r>
      <w:r w:rsidR="003E21C0">
        <w:rPr>
          <w:rFonts w:ascii="Times New Roman" w:hAnsi="Times New Roman" w:cs="Times New Roman"/>
          <w:sz w:val="24"/>
          <w:szCs w:val="24"/>
        </w:rPr>
        <w:t xml:space="preserve"> n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 w:rsidR="003E21C0">
        <w:rPr>
          <w:rFonts w:ascii="Times New Roman" w:hAnsi="Times New Roman" w:cs="Times New Roman"/>
          <w:sz w:val="24"/>
          <w:szCs w:val="24"/>
        </w:rPr>
        <w:t xml:space="preserve"> sistemin e burgjeve</w:t>
      </w:r>
      <w:r w:rsidR="0086260F">
        <w:rPr>
          <w:rFonts w:ascii="Times New Roman" w:hAnsi="Times New Roman" w:cs="Times New Roman"/>
          <w:sz w:val="24"/>
          <w:szCs w:val="24"/>
        </w:rPr>
        <w:t>,</w:t>
      </w:r>
      <w:r w:rsidR="003E21C0">
        <w:rPr>
          <w:rFonts w:ascii="Times New Roman" w:hAnsi="Times New Roman" w:cs="Times New Roman"/>
          <w:sz w:val="24"/>
          <w:szCs w:val="24"/>
        </w:rPr>
        <w:t xml:space="preserve"> ajo</w:t>
      </w:r>
      <w:r w:rsidR="0086260F">
        <w:rPr>
          <w:rFonts w:ascii="Times New Roman" w:hAnsi="Times New Roman" w:cs="Times New Roman"/>
          <w:sz w:val="24"/>
          <w:szCs w:val="24"/>
        </w:rPr>
        <w:t xml:space="preserve"> </w:t>
      </w:r>
      <w:r w:rsidRPr="00E45D3B">
        <w:rPr>
          <w:rFonts w:ascii="Times New Roman" w:hAnsi="Times New Roman" w:cs="Times New Roman"/>
          <w:sz w:val="24"/>
          <w:szCs w:val="24"/>
        </w:rPr>
        <w:t xml:space="preserve">udhëhiqet nga testi i kujdesit të duhur, </w:t>
      </w:r>
      <w:r w:rsidR="0086260F">
        <w:rPr>
          <w:rFonts w:ascii="Times New Roman" w:hAnsi="Times New Roman" w:cs="Times New Roman"/>
          <w:sz w:val="24"/>
          <w:szCs w:val="24"/>
        </w:rPr>
        <w:t>duke patur n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 xml:space="preserve"> konsiderat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 xml:space="preserve"> mjetet q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86260F">
        <w:rPr>
          <w:rFonts w:ascii="Times New Roman" w:hAnsi="Times New Roman" w:cs="Times New Roman"/>
          <w:sz w:val="24"/>
          <w:szCs w:val="24"/>
        </w:rPr>
        <w:t xml:space="preserve"> shteti ka ndjekur dhe jo rezultatin. S</w:t>
      </w:r>
      <w:r w:rsidRPr="00E45D3B">
        <w:rPr>
          <w:rFonts w:ascii="Times New Roman" w:hAnsi="Times New Roman" w:cs="Times New Roman"/>
          <w:sz w:val="24"/>
          <w:szCs w:val="24"/>
        </w:rPr>
        <w:t xml:space="preserve">ipas </w:t>
      </w:r>
      <w:r w:rsidR="0086260F">
        <w:rPr>
          <w:rFonts w:ascii="Times New Roman" w:hAnsi="Times New Roman" w:cs="Times New Roman"/>
          <w:sz w:val="24"/>
          <w:szCs w:val="24"/>
        </w:rPr>
        <w:t>n</w:t>
      </w:r>
      <w:r w:rsidRPr="00E45D3B">
        <w:rPr>
          <w:rFonts w:ascii="Times New Roman" w:hAnsi="Times New Roman" w:cs="Times New Roman"/>
          <w:sz w:val="24"/>
          <w:szCs w:val="24"/>
        </w:rPr>
        <w:t>enit 3 të Konventë</w:t>
      </w:r>
      <w:r w:rsidR="0086260F">
        <w:rPr>
          <w:rFonts w:ascii="Times New Roman" w:hAnsi="Times New Roman" w:cs="Times New Roman"/>
          <w:sz w:val="24"/>
          <w:szCs w:val="24"/>
        </w:rPr>
        <w:t xml:space="preserve"> (KEDNJ)</w:t>
      </w:r>
      <w:r w:rsidRPr="00E45D3B">
        <w:rPr>
          <w:rFonts w:ascii="Times New Roman" w:hAnsi="Times New Roman" w:cs="Times New Roman"/>
          <w:sz w:val="24"/>
          <w:szCs w:val="24"/>
        </w:rPr>
        <w:t xml:space="preserve">, </w:t>
      </w:r>
      <w:r w:rsidR="003F0F28">
        <w:rPr>
          <w:rFonts w:ascii="Times New Roman" w:hAnsi="Times New Roman" w:cs="Times New Roman"/>
          <w:sz w:val="24"/>
          <w:szCs w:val="24"/>
        </w:rPr>
        <w:t>vler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F0F28">
        <w:rPr>
          <w:rFonts w:ascii="Times New Roman" w:hAnsi="Times New Roman" w:cs="Times New Roman"/>
          <w:sz w:val="24"/>
          <w:szCs w:val="24"/>
        </w:rPr>
        <w:t>sohet n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="003F0F28">
        <w:rPr>
          <w:rFonts w:ascii="Times New Roman" w:hAnsi="Times New Roman" w:cs="Times New Roman"/>
          <w:sz w:val="24"/>
          <w:szCs w:val="24"/>
        </w:rPr>
        <w:t>se</w:t>
      </w:r>
      <w:r w:rsidRPr="00E45D3B">
        <w:rPr>
          <w:rFonts w:ascii="Times New Roman" w:hAnsi="Times New Roman" w:cs="Times New Roman"/>
          <w:sz w:val="24"/>
          <w:szCs w:val="24"/>
        </w:rPr>
        <w:t xml:space="preserve"> autoritetet përkatëse vendase kanë </w:t>
      </w:r>
      <w:r w:rsidR="0086260F">
        <w:rPr>
          <w:rFonts w:ascii="Times New Roman" w:hAnsi="Times New Roman" w:cs="Times New Roman"/>
          <w:sz w:val="24"/>
          <w:szCs w:val="24"/>
        </w:rPr>
        <w:t>marr</w:t>
      </w:r>
      <w:r w:rsidR="007517C1">
        <w:rPr>
          <w:rFonts w:ascii="Times New Roman" w:hAnsi="Times New Roman" w:cs="Times New Roman"/>
          <w:sz w:val="24"/>
          <w:szCs w:val="24"/>
        </w:rPr>
        <w:t>ë</w:t>
      </w:r>
      <w:r w:rsidRPr="00E45D3B">
        <w:rPr>
          <w:rFonts w:ascii="Times New Roman" w:hAnsi="Times New Roman" w:cs="Times New Roman"/>
          <w:sz w:val="24"/>
          <w:szCs w:val="24"/>
        </w:rPr>
        <w:t xml:space="preserve"> në kohën e duhur të gjitha masat mjekësore të arsyeshme të mundshme në një "përpjekje të ndërgjegjshme për të penguar zhvillimin e sëmundjes në fjalë (</w:t>
      </w:r>
      <w:r w:rsidRPr="007517C1">
        <w:rPr>
          <w:rFonts w:ascii="Times New Roman" w:hAnsi="Times New Roman" w:cs="Times New Roman"/>
          <w:i/>
          <w:iCs/>
          <w:sz w:val="24"/>
          <w:szCs w:val="24"/>
        </w:rPr>
        <w:t>Goginashvili kundër Gjeorgjisë, 2011, § 71</w:t>
      </w:r>
      <w:r w:rsidRPr="00E45D3B">
        <w:rPr>
          <w:rFonts w:ascii="Times New Roman" w:hAnsi="Times New Roman" w:cs="Times New Roman"/>
          <w:sz w:val="24"/>
          <w:szCs w:val="24"/>
        </w:rPr>
        <w:t>). Vetë fakti që një i paraburgosur vizitohet nga një mjek dhe i përshkruhet një formë e caktuar trajtimi nuk mund të çojë automatikisht në përfundimin se ndihma mjekësore ishte e mjaftueshme (</w:t>
      </w:r>
      <w:r w:rsidRPr="007517C1">
        <w:rPr>
          <w:rFonts w:ascii="Times New Roman" w:hAnsi="Times New Roman" w:cs="Times New Roman"/>
          <w:i/>
          <w:iCs/>
          <w:sz w:val="24"/>
          <w:szCs w:val="24"/>
        </w:rPr>
        <w:t>Hummatov kundër Azerbajxhanit, 2007, § 116</w:t>
      </w:r>
      <w:r w:rsidRPr="00E45D3B">
        <w:rPr>
          <w:rFonts w:ascii="Times New Roman" w:hAnsi="Times New Roman" w:cs="Times New Roman"/>
          <w:sz w:val="24"/>
          <w:szCs w:val="24"/>
        </w:rPr>
        <w:t>). Autoritetet duhet gjithashtu të sigurojnë që kur është e nevojshme nga natyra e një gjendjeje mjekësore, mbikëqyrja të jetë e rregullt dhe sistematike dhe të përfshijë një strategji gjithëpërfshirëse terapeutike që synon trajtimin adekuat të problemeve shëndetësore të të paraburgosurit ose parandalimin e përkeqësimit të tyre, në vend që t'i adresojë ato në bazë simptomatike (</w:t>
      </w:r>
      <w:r w:rsidRPr="007517C1">
        <w:rPr>
          <w:rFonts w:ascii="Times New Roman" w:hAnsi="Times New Roman" w:cs="Times New Roman"/>
          <w:i/>
          <w:iCs/>
          <w:sz w:val="24"/>
          <w:szCs w:val="24"/>
        </w:rPr>
        <w:t>Amirov kundër Rusisë, 2014, § 93</w:t>
      </w:r>
      <w:r w:rsidRPr="00E45D3B">
        <w:rPr>
          <w:rFonts w:ascii="Times New Roman" w:hAnsi="Times New Roman" w:cs="Times New Roman"/>
          <w:sz w:val="24"/>
          <w:szCs w:val="24"/>
        </w:rPr>
        <w:t>).</w:t>
      </w:r>
    </w:p>
    <w:p w14:paraId="3991F6B8" w14:textId="77777777" w:rsidR="00803799" w:rsidRDefault="00803799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BD40E" w14:textId="77777777" w:rsidR="00381489" w:rsidRDefault="00122856" w:rsidP="0038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KShH bën thirrje për</w:t>
      </w:r>
      <w:r w:rsidR="00B408A4">
        <w:rPr>
          <w:rFonts w:ascii="Times New Roman" w:hAnsi="Times New Roman" w:cs="Times New Roman"/>
          <w:sz w:val="24"/>
          <w:szCs w:val="24"/>
        </w:rPr>
        <w:t xml:space="preserve"> verifikime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B408A4">
        <w:rPr>
          <w:rFonts w:ascii="Times New Roman" w:hAnsi="Times New Roman" w:cs="Times New Roman"/>
          <w:sz w:val="24"/>
          <w:szCs w:val="24"/>
        </w:rPr>
        <w:t xml:space="preserve"> m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B408A4">
        <w:rPr>
          <w:rFonts w:ascii="Times New Roman" w:hAnsi="Times New Roman" w:cs="Times New Roman"/>
          <w:sz w:val="24"/>
          <w:szCs w:val="24"/>
        </w:rPr>
        <w:t>tejshme</w:t>
      </w:r>
      <w:r w:rsidR="00300695">
        <w:rPr>
          <w:rFonts w:ascii="Times New Roman" w:hAnsi="Times New Roman" w:cs="Times New Roman"/>
          <w:sz w:val="24"/>
          <w:szCs w:val="24"/>
        </w:rPr>
        <w:t>, objektive dhe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300695">
        <w:rPr>
          <w:rFonts w:ascii="Times New Roman" w:hAnsi="Times New Roman" w:cs="Times New Roman"/>
          <w:sz w:val="24"/>
          <w:szCs w:val="24"/>
        </w:rPr>
        <w:t xml:space="preserve"> gjith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300695">
        <w:rPr>
          <w:rFonts w:ascii="Times New Roman" w:hAnsi="Times New Roman" w:cs="Times New Roman"/>
          <w:sz w:val="24"/>
          <w:szCs w:val="24"/>
        </w:rPr>
        <w:t>anshme</w:t>
      </w:r>
      <w:r w:rsidR="002F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nga Ministria e Drejtësisë dhe Drejtoria e Përgjithshme e Burgjeve </w:t>
      </w:r>
      <w:r w:rsidR="002F3D63">
        <w:rPr>
          <w:rFonts w:ascii="Times New Roman" w:hAnsi="Times New Roman" w:cs="Times New Roman"/>
          <w:sz w:val="24"/>
          <w:szCs w:val="24"/>
        </w:rPr>
        <w:t>lidhur me ngjarjen</w:t>
      </w:r>
      <w:r w:rsidR="00497B5B">
        <w:rPr>
          <w:rFonts w:ascii="Times New Roman" w:hAnsi="Times New Roman" w:cs="Times New Roman"/>
          <w:sz w:val="24"/>
          <w:szCs w:val="24"/>
        </w:rPr>
        <w:t>, p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>r identifikimin e p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>rgjegj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 xml:space="preserve">sive sipas rastit dhe parandalimin e </w:t>
      </w:r>
      <w:r w:rsidR="009E30A0">
        <w:rPr>
          <w:rFonts w:ascii="Times New Roman" w:hAnsi="Times New Roman" w:cs="Times New Roman"/>
          <w:sz w:val="24"/>
          <w:szCs w:val="24"/>
        </w:rPr>
        <w:t>rasteve</w:t>
      </w:r>
      <w:r w:rsidR="00497B5B">
        <w:rPr>
          <w:rFonts w:ascii="Times New Roman" w:hAnsi="Times New Roman" w:cs="Times New Roman"/>
          <w:sz w:val="24"/>
          <w:szCs w:val="24"/>
        </w:rPr>
        <w:t xml:space="preserve">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 xml:space="preserve"> tjera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 xml:space="preserve"> ngjashme n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 xml:space="preserve"> t</w:t>
      </w:r>
      <w:r w:rsidR="00465F9B">
        <w:rPr>
          <w:rFonts w:ascii="Times New Roman" w:hAnsi="Times New Roman" w:cs="Times New Roman"/>
          <w:sz w:val="24"/>
          <w:szCs w:val="24"/>
        </w:rPr>
        <w:t>ë</w:t>
      </w:r>
      <w:r w:rsidR="00497B5B">
        <w:rPr>
          <w:rFonts w:ascii="Times New Roman" w:hAnsi="Times New Roman" w:cs="Times New Roman"/>
          <w:sz w:val="24"/>
          <w:szCs w:val="24"/>
        </w:rPr>
        <w:t xml:space="preserve"> ardhmen. </w:t>
      </w:r>
    </w:p>
    <w:p w14:paraId="1FFC3072" w14:textId="77777777" w:rsidR="00381489" w:rsidRDefault="00381489" w:rsidP="0038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A9A43" w14:textId="1FD608DB" w:rsidR="00381489" w:rsidRDefault="00381489" w:rsidP="0038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rfundim, KShH v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ren me shqetësim t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thellë se politika penale e ndjekur në vijimësi nga sistemi yn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drejtësisë përkundrejt përdorimit të tepruar të masës së sigurisë “arrest në burg” vijon të jet</w:t>
      </w:r>
      <w:r w:rsidR="0051002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problematike. Nuk ështe hera e parë që shtetas me probleme të rënda shëndetësore dhe që nuk paraqesin rrezikshmëri të theksuar shoqërore apo të veprës penale për të cilën hetohen, humbasin jetën në sistemin e paraburgimit. Kjo politikë është jo në pë</w:t>
      </w:r>
      <w:r w:rsidR="005100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puthje me standardet ndërkombëtare të cilat inkurajojnë me forcë mos përdorimin e masave shtrënguese të kufizimit të lirisë gjatë hetimeve, veçanërisht kjo duke pasur parasysh në rastin konkret historikun mjekësor të shtetasit B.</w:t>
      </w:r>
      <w:r w:rsidR="00C920D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CD86E" w14:textId="77777777" w:rsidR="00381489" w:rsidRDefault="00381489" w:rsidP="00381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D18E1" w14:textId="6C27BBF7" w:rsidR="00122856" w:rsidRDefault="00122856" w:rsidP="00BC6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28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9CBD" w14:textId="77777777" w:rsidR="00EA5157" w:rsidRDefault="00EA5157">
      <w:pPr>
        <w:spacing w:line="240" w:lineRule="auto"/>
      </w:pPr>
      <w:r>
        <w:separator/>
      </w:r>
    </w:p>
  </w:endnote>
  <w:endnote w:type="continuationSeparator" w:id="0">
    <w:p w14:paraId="73CCDA92" w14:textId="77777777" w:rsidR="00EA5157" w:rsidRDefault="00EA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TC Bookman Ligh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749" w14:textId="77777777" w:rsidR="00BC25D3" w:rsidRPr="007F4D9D" w:rsidRDefault="00BC25D3" w:rsidP="007C4866">
    <w:pPr>
      <w:spacing w:line="240" w:lineRule="auto"/>
      <w:rPr>
        <w:rFonts w:ascii="ITC Bookman Light" w:hAnsi="ITC Bookman Light"/>
        <w:noProof/>
        <w:spacing w:val="-8"/>
        <w:sz w:val="14"/>
        <w:szCs w:val="18"/>
        <w:lang w:val="es-ES"/>
      </w:rPr>
    </w:pPr>
  </w:p>
  <w:p w14:paraId="7509E57E" w14:textId="3463BA81" w:rsidR="005561C6" w:rsidRPr="003B655C" w:rsidRDefault="005561C6" w:rsidP="007C4866">
    <w:pPr>
      <w:spacing w:line="240" w:lineRule="auto"/>
      <w:rPr>
        <w:rFonts w:ascii="ITC Bookman Light" w:hAnsi="ITC Bookman Light"/>
        <w:noProof/>
        <w:spacing w:val="-8"/>
        <w:sz w:val="18"/>
        <w:lang w:val="it-IT"/>
      </w:rPr>
    </w:pPr>
    <w:r>
      <w:rPr>
        <w:rFonts w:ascii="ITC Bookman Light" w:hAnsi="ITC Bookman Light"/>
        <w:noProof/>
        <w:spacing w:val="-8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D7CCF" wp14:editId="624E43E8">
              <wp:simplePos x="0" y="0"/>
              <wp:positionH relativeFrom="column">
                <wp:posOffset>-12700</wp:posOffset>
              </wp:positionH>
              <wp:positionV relativeFrom="paragraph">
                <wp:posOffset>-21590</wp:posOffset>
              </wp:positionV>
              <wp:extent cx="5829300" cy="0"/>
              <wp:effectExtent l="6350" t="6985" r="12700" b="12065"/>
              <wp:wrapNone/>
              <wp:docPr id="114534743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456D7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-1.7pt" to="45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NlXVUNwAAAAIAQAADwAAAAAAAAAAAAAAAAAKBAAAZHJzL2Rvd25yZXYu&#10;eG1sUEsFBgAAAAAEAAQA8wAAABMFAAAAAA==&#10;"/>
          </w:pict>
        </mc:Fallback>
      </mc:AlternateContent>
    </w:r>
    <w:r w:rsidRPr="00E72231">
      <w:rPr>
        <w:rFonts w:ascii="ITC Bookman Light" w:hAnsi="ITC Bookman Light"/>
        <w:noProof/>
        <w:spacing w:val="-8"/>
        <w:sz w:val="18"/>
        <w:lang w:val="es-ES"/>
      </w:rPr>
      <w:t>Adresa: Rr. “Brigada e VIII”, Pall TeknoProjekt</w:t>
    </w:r>
    <w:r w:rsidRPr="003B655C">
      <w:rPr>
        <w:rFonts w:ascii="ITC Bookman Light" w:hAnsi="ITC Bookman Light"/>
        <w:noProof/>
        <w:spacing w:val="-8"/>
        <w:sz w:val="18"/>
        <w:lang w:val="it-IT"/>
      </w:rPr>
      <w:tab/>
    </w:r>
    <w:r>
      <w:rPr>
        <w:rFonts w:ascii="ITC Bookman Light" w:hAnsi="ITC Bookman Light"/>
        <w:noProof/>
        <w:spacing w:val="-8"/>
        <w:sz w:val="18"/>
        <w:lang w:val="it-IT"/>
      </w:rPr>
      <w:t xml:space="preserve">     </w:t>
    </w:r>
    <w:r w:rsidR="00803799">
      <w:rPr>
        <w:rFonts w:ascii="ITC Bookman Light" w:hAnsi="ITC Bookman Light"/>
        <w:noProof/>
        <w:spacing w:val="-8"/>
        <w:sz w:val="18"/>
        <w:lang w:val="it-IT"/>
      </w:rPr>
      <w:t xml:space="preserve">          </w:t>
    </w:r>
    <w:r>
      <w:rPr>
        <w:rFonts w:ascii="ITC Bookman Light" w:hAnsi="ITC Bookman Light"/>
        <w:noProof/>
        <w:spacing w:val="-8"/>
        <w:sz w:val="18"/>
        <w:lang w:val="it-IT"/>
      </w:rPr>
      <w:t xml:space="preserve">             </w:t>
    </w:r>
    <w:r w:rsidRPr="003B655C">
      <w:rPr>
        <w:rFonts w:ascii="ITC Bookman Light" w:hAnsi="ITC Bookman Light"/>
        <w:noProof/>
        <w:sz w:val="18"/>
        <w:lang w:val="it-IT"/>
      </w:rPr>
      <w:t>Tel &amp; Fax: ++355 (0)4 233671</w:t>
    </w:r>
  </w:p>
  <w:p w14:paraId="17B5F9E1" w14:textId="7FAEFE93" w:rsidR="005561C6" w:rsidRPr="00D90297" w:rsidRDefault="005561C6" w:rsidP="007C4866">
    <w:pPr>
      <w:spacing w:line="240" w:lineRule="auto"/>
      <w:rPr>
        <w:rFonts w:ascii="ITC Bookman Light" w:hAnsi="ITC Bookman Light"/>
        <w:noProof/>
        <w:spacing w:val="-8"/>
        <w:sz w:val="18"/>
        <w:lang w:val="it-IT"/>
      </w:rPr>
    </w:pPr>
    <w:r>
      <w:rPr>
        <w:rFonts w:ascii="ITC Bookman Light" w:hAnsi="ITC Bookman Light"/>
        <w:noProof/>
        <w:spacing w:val="-8"/>
        <w:sz w:val="18"/>
        <w:lang w:val="it-IT"/>
      </w:rPr>
      <w:t>Ap.10, Kati 5</w:t>
    </w:r>
    <w:r w:rsidRPr="00D90297">
      <w:rPr>
        <w:rFonts w:ascii="ITC Bookman Light" w:hAnsi="ITC Bookman Light"/>
        <w:noProof/>
        <w:spacing w:val="-8"/>
        <w:sz w:val="18"/>
        <w:lang w:val="it-IT"/>
      </w:rPr>
      <w:t xml:space="preserve"> Tirana-Albania</w:t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 w:rsidR="00C920D1">
      <w:rPr>
        <w:rFonts w:ascii="ITC Bookman Light" w:hAnsi="ITC Bookman Light"/>
        <w:noProof/>
        <w:spacing w:val="-8"/>
        <w:sz w:val="18"/>
        <w:lang w:val="it-IT"/>
      </w:rPr>
      <w:t xml:space="preserve">                      </w:t>
    </w:r>
    <w:r w:rsidR="00803799">
      <w:rPr>
        <w:rFonts w:ascii="ITC Bookman Light" w:hAnsi="ITC Bookman Light"/>
        <w:noProof/>
        <w:spacing w:val="-8"/>
        <w:sz w:val="18"/>
        <w:lang w:val="it-IT"/>
      </w:rPr>
      <w:t xml:space="preserve">   </w:t>
    </w:r>
    <w:r w:rsidR="000530A7">
      <w:rPr>
        <w:rFonts w:ascii="ITC Bookman Light" w:hAnsi="ITC Bookman Light"/>
        <w:noProof/>
        <w:spacing w:val="-8"/>
        <w:sz w:val="18"/>
        <w:lang w:val="it-IT"/>
      </w:rPr>
      <w:t xml:space="preserve"> </w:t>
    </w:r>
    <w:r w:rsidR="00803799">
      <w:rPr>
        <w:rFonts w:ascii="ITC Bookman Light" w:hAnsi="ITC Bookman Light"/>
        <w:noProof/>
        <w:spacing w:val="-8"/>
        <w:sz w:val="18"/>
        <w:lang w:val="it-IT"/>
      </w:rPr>
      <w:t xml:space="preserve"> </w:t>
    </w:r>
    <w:r w:rsidR="000530A7">
      <w:rPr>
        <w:rFonts w:ascii="ITC Bookman Light" w:hAnsi="ITC Bookman Light"/>
        <w:noProof/>
        <w:spacing w:val="-8"/>
        <w:sz w:val="18"/>
        <w:lang w:val="it-IT"/>
      </w:rPr>
      <w:t xml:space="preserve">  </w:t>
    </w:r>
    <w:r w:rsidRPr="00D90297">
      <w:rPr>
        <w:rFonts w:ascii="ITC Bookman Light" w:hAnsi="ITC Bookman Light"/>
        <w:noProof/>
        <w:sz w:val="18"/>
        <w:lang w:val="it-IT"/>
      </w:rPr>
      <w:t xml:space="preserve">e-mail: </w:t>
    </w:r>
    <w:hyperlink r:id="rId1" w:history="1">
      <w:r w:rsidR="004B2BD6" w:rsidRPr="007E7ADE">
        <w:rPr>
          <w:rStyle w:val="Hyperlink"/>
          <w:rFonts w:ascii="ITC Bookman Light" w:hAnsi="ITC Bookman Light"/>
          <w:noProof/>
          <w:spacing w:val="-8"/>
          <w:sz w:val="18"/>
          <w:lang w:val="it-IT"/>
        </w:rPr>
        <w:t>office@ahc.org.al</w:t>
      </w:r>
    </w:hyperlink>
  </w:p>
  <w:p w14:paraId="35937ABE" w14:textId="1EFD48EA" w:rsidR="005561C6" w:rsidRPr="007F4D9D" w:rsidRDefault="005561C6" w:rsidP="007F4D9D">
    <w:pPr>
      <w:spacing w:line="240" w:lineRule="auto"/>
      <w:rPr>
        <w:rFonts w:ascii="ITC Bookman Light" w:hAnsi="ITC Bookman Light"/>
        <w:noProof/>
        <w:spacing w:val="-8"/>
        <w:sz w:val="18"/>
        <w:lang w:val="it-IT"/>
      </w:rPr>
    </w:pPr>
    <w:r w:rsidRPr="00D90297">
      <w:rPr>
        <w:rFonts w:ascii="ITC Bookman Light" w:hAnsi="ITC Bookman Light"/>
        <w:noProof/>
        <w:spacing w:val="-8"/>
        <w:sz w:val="18"/>
        <w:lang w:val="it-IT"/>
      </w:rPr>
      <w:t>P. O. Box /Kutia Postare No. 1752</w:t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 w:rsidRPr="00D90297">
      <w:rPr>
        <w:rFonts w:ascii="ITC Bookman Light" w:hAnsi="ITC Bookman Light"/>
        <w:noProof/>
        <w:spacing w:val="-8"/>
        <w:sz w:val="18"/>
        <w:lang w:val="it-IT"/>
      </w:rPr>
      <w:tab/>
    </w:r>
    <w:r>
      <w:rPr>
        <w:rFonts w:ascii="ITC Bookman Light" w:hAnsi="ITC Bookman Light"/>
        <w:noProof/>
        <w:spacing w:val="-8"/>
        <w:sz w:val="18"/>
        <w:lang w:val="it-IT"/>
      </w:rPr>
      <w:t xml:space="preserve">             </w:t>
    </w:r>
    <w:r w:rsidR="00C920D1">
      <w:rPr>
        <w:rFonts w:ascii="ITC Bookman Light" w:hAnsi="ITC Bookman Light"/>
        <w:noProof/>
        <w:spacing w:val="-8"/>
        <w:sz w:val="18"/>
        <w:lang w:val="it-IT"/>
      </w:rPr>
      <w:t xml:space="preserve"> </w:t>
    </w:r>
    <w:r>
      <w:rPr>
        <w:rFonts w:ascii="ITC Bookman Light" w:hAnsi="ITC Bookman Light"/>
        <w:noProof/>
        <w:spacing w:val="-8"/>
        <w:sz w:val="18"/>
        <w:lang w:val="it-IT"/>
      </w:rPr>
      <w:t xml:space="preserve"> </w:t>
    </w:r>
    <w:r w:rsidR="00803799">
      <w:rPr>
        <w:rFonts w:ascii="ITC Bookman Light" w:hAnsi="ITC Bookman Light"/>
        <w:noProof/>
        <w:spacing w:val="-8"/>
        <w:sz w:val="18"/>
        <w:lang w:val="it-IT"/>
      </w:rPr>
      <w:t>w</w:t>
    </w:r>
    <w:r w:rsidR="00502B10">
      <w:rPr>
        <w:rFonts w:ascii="ITC Bookman Light" w:hAnsi="ITC Bookman Light"/>
        <w:noProof/>
        <w:spacing w:val="-8"/>
        <w:sz w:val="18"/>
        <w:lang w:val="it-IT"/>
      </w:rPr>
      <w:t>eb</w:t>
    </w:r>
    <w:r w:rsidR="006A5656">
      <w:rPr>
        <w:rFonts w:ascii="ITC Bookman Light" w:hAnsi="ITC Bookman Light"/>
        <w:noProof/>
        <w:spacing w:val="-8"/>
        <w:sz w:val="18"/>
        <w:lang w:val="it-IT"/>
      </w:rPr>
      <w:t xml:space="preserve"> </w:t>
    </w:r>
    <w:r w:rsidRPr="00D90297">
      <w:rPr>
        <w:rFonts w:ascii="ITC Bookman Light" w:hAnsi="ITC Bookman Light"/>
        <w:noProof/>
        <w:spacing w:val="-8"/>
        <w:sz w:val="18"/>
        <w:lang w:val="it-IT"/>
      </w:rPr>
      <w:t>address:</w:t>
    </w:r>
    <w:r>
      <w:rPr>
        <w:rFonts w:ascii="ITC Bookman Light" w:hAnsi="ITC Bookman Light"/>
        <w:noProof/>
        <w:spacing w:val="-8"/>
        <w:sz w:val="18"/>
        <w:lang w:val="it-IT"/>
      </w:rPr>
      <w:t xml:space="preserve"> </w:t>
    </w:r>
    <w:hyperlink r:id="rId2" w:history="1">
      <w:r w:rsidR="00803799" w:rsidRPr="005169E0">
        <w:rPr>
          <w:rStyle w:val="Hyperlink"/>
          <w:rFonts w:ascii="ITC Bookman Light" w:hAnsi="ITC Bookman Light"/>
          <w:noProof/>
          <w:spacing w:val="-8"/>
          <w:sz w:val="18"/>
          <w:lang w:val="it-IT"/>
        </w:rPr>
        <w:t>www.ahc.org.al</w:t>
      </w:r>
    </w:hyperlink>
    <w:r>
      <w:rPr>
        <w:rFonts w:ascii="ITC Bookman Light" w:hAnsi="ITC Bookman Light"/>
        <w:noProof/>
        <w:spacing w:val="-8"/>
        <w:sz w:val="18"/>
        <w:lang w:val="it-IT"/>
      </w:rPr>
      <w:t xml:space="preserve"> </w:t>
    </w:r>
    <w:r w:rsidRPr="00D90297">
      <w:rPr>
        <w:rFonts w:ascii="ITC Bookman Light" w:hAnsi="ITC Bookman Light"/>
        <w:noProof/>
        <w:spacing w:val="-8"/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1392" w14:textId="77777777" w:rsidR="00EA5157" w:rsidRDefault="00EA5157">
      <w:pPr>
        <w:spacing w:line="240" w:lineRule="auto"/>
      </w:pPr>
      <w:r>
        <w:separator/>
      </w:r>
    </w:p>
  </w:footnote>
  <w:footnote w:type="continuationSeparator" w:id="0">
    <w:p w14:paraId="1A60E531" w14:textId="77777777" w:rsidR="00EA5157" w:rsidRDefault="00EA5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74D" w14:textId="3EED0FD3" w:rsidR="005561C6" w:rsidRDefault="005561C6" w:rsidP="005561C6">
    <w:pPr>
      <w:framePr w:hSpace="180" w:wrap="around" w:vAnchor="page" w:hAnchor="page" w:x="5221" w:y="1"/>
      <w:jc w:val="center"/>
      <w:rPr>
        <w:noProof/>
      </w:rPr>
    </w:pPr>
    <w:r>
      <w:rPr>
        <w:noProof/>
      </w:rPr>
      <w:object w:dxaOrig="8761" w:dyaOrig="5940" w14:anchorId="741E8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pt;height:64.5pt">
          <v:imagedata r:id="rId1" o:title="" croptop="5881f" cropbottom="32272f" cropleft="15254f" cropright="21501f"/>
        </v:shape>
        <o:OLEObject Type="Embed" ProgID="PBrush" ShapeID="_x0000_i1025" DrawAspect="Content" ObjectID="_1816064792" r:id="rId2"/>
      </w:object>
    </w:r>
  </w:p>
  <w:p w14:paraId="78D6E33D" w14:textId="77777777" w:rsidR="005561C6" w:rsidRDefault="005561C6" w:rsidP="005561C6">
    <w:pPr>
      <w:pStyle w:val="Heading2"/>
      <w:spacing w:before="0" w:after="0" w:line="240" w:lineRule="auto"/>
      <w:rPr>
        <w:spacing w:val="76"/>
        <w:sz w:val="36"/>
      </w:rPr>
    </w:pPr>
  </w:p>
  <w:p w14:paraId="418D37F6" w14:textId="77777777" w:rsidR="005561C6" w:rsidRDefault="005561C6" w:rsidP="005561C6">
    <w:pPr>
      <w:pStyle w:val="Heading2"/>
      <w:spacing w:before="0" w:after="0" w:line="240" w:lineRule="auto"/>
      <w:rPr>
        <w:spacing w:val="76"/>
        <w:sz w:val="36"/>
      </w:rPr>
    </w:pPr>
  </w:p>
  <w:p w14:paraId="57B3861B" w14:textId="61A8AC96" w:rsidR="005561C6" w:rsidRPr="005561C6" w:rsidRDefault="005561C6" w:rsidP="005561C6">
    <w:pPr>
      <w:pStyle w:val="Heading2"/>
      <w:spacing w:before="0" w:after="0" w:line="240" w:lineRule="auto"/>
      <w:jc w:val="center"/>
      <w:rPr>
        <w:rFonts w:ascii="Book Antiqua" w:hAnsi="Book Antiqua"/>
        <w:b/>
        <w:bCs/>
        <w:caps/>
        <w:spacing w:val="76"/>
        <w:sz w:val="36"/>
      </w:rPr>
    </w:pPr>
    <w:r w:rsidRPr="005561C6">
      <w:rPr>
        <w:rFonts w:ascii="Book Antiqua" w:hAnsi="Book Antiqua"/>
        <w:b/>
        <w:bCs/>
        <w:spacing w:val="76"/>
        <w:sz w:val="36"/>
      </w:rPr>
      <w:t>Komiteti Shqiptar i Helsinkit</w:t>
    </w:r>
  </w:p>
  <w:p w14:paraId="1D2C918E" w14:textId="77777777" w:rsidR="005561C6" w:rsidRPr="005561C6" w:rsidRDefault="005561C6" w:rsidP="005561C6">
    <w:pPr>
      <w:tabs>
        <w:tab w:val="center" w:pos="4410"/>
      </w:tabs>
      <w:spacing w:line="240" w:lineRule="auto"/>
      <w:rPr>
        <w:rFonts w:ascii="Book Antiqua" w:hAnsi="Book Antiqua"/>
        <w:b/>
        <w:bCs/>
        <w:i/>
        <w:iCs/>
        <w:noProof/>
      </w:rPr>
    </w:pPr>
    <w:r w:rsidRPr="005561C6">
      <w:rPr>
        <w:rFonts w:ascii="Book Antiqua" w:hAnsi="Book Antiqua"/>
        <w:b/>
        <w:bCs/>
        <w:smallCaps/>
        <w:noProof/>
        <w:spacing w:val="98"/>
        <w:sz w:val="36"/>
      </w:rPr>
      <w:tab/>
      <w:t>Albanian Helsinki Committee</w:t>
    </w:r>
  </w:p>
  <w:p w14:paraId="51D8B39A" w14:textId="77777777" w:rsidR="005561C6" w:rsidRDefault="005561C6" w:rsidP="005561C6">
    <w:pPr>
      <w:pStyle w:val="Header"/>
      <w:pBdr>
        <w:bottom w:val="single" w:sz="6" w:space="4" w:color="auto"/>
      </w:pBdr>
      <w:rPr>
        <w:rFonts w:ascii="ITC Bookman Light" w:hAnsi="ITC Bookman Light"/>
        <w:caps/>
        <w:noProof/>
        <w:spacing w:val="-8"/>
        <w:sz w:val="4"/>
      </w:rPr>
    </w:pPr>
  </w:p>
  <w:p w14:paraId="67C751C8" w14:textId="77777777" w:rsidR="005561C6" w:rsidRPr="00F31721" w:rsidRDefault="005561C6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454"/>
    <w:multiLevelType w:val="hybridMultilevel"/>
    <w:tmpl w:val="9AAA0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702B"/>
    <w:multiLevelType w:val="hybridMultilevel"/>
    <w:tmpl w:val="435EB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2E76"/>
    <w:multiLevelType w:val="multilevel"/>
    <w:tmpl w:val="1956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915D8"/>
    <w:multiLevelType w:val="multilevel"/>
    <w:tmpl w:val="428C6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675192"/>
    <w:multiLevelType w:val="multilevel"/>
    <w:tmpl w:val="428C6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3735525">
    <w:abstractNumId w:val="4"/>
  </w:num>
  <w:num w:numId="2" w16cid:durableId="1668824449">
    <w:abstractNumId w:val="3"/>
  </w:num>
  <w:num w:numId="3" w16cid:durableId="489907445">
    <w:abstractNumId w:val="2"/>
  </w:num>
  <w:num w:numId="4" w16cid:durableId="1864130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9787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C7"/>
    <w:rsid w:val="00000C93"/>
    <w:rsid w:val="00000F5A"/>
    <w:rsid w:val="000521C1"/>
    <w:rsid w:val="000530A7"/>
    <w:rsid w:val="00061390"/>
    <w:rsid w:val="00074A15"/>
    <w:rsid w:val="000C7E40"/>
    <w:rsid w:val="000D3AFB"/>
    <w:rsid w:val="000E0764"/>
    <w:rsid w:val="000E19AD"/>
    <w:rsid w:val="000F0AC9"/>
    <w:rsid w:val="001002FC"/>
    <w:rsid w:val="00120A42"/>
    <w:rsid w:val="00122856"/>
    <w:rsid w:val="00127C80"/>
    <w:rsid w:val="001341C7"/>
    <w:rsid w:val="001344A6"/>
    <w:rsid w:val="00145120"/>
    <w:rsid w:val="00154C76"/>
    <w:rsid w:val="0015762A"/>
    <w:rsid w:val="001650F9"/>
    <w:rsid w:val="0016708C"/>
    <w:rsid w:val="001850B0"/>
    <w:rsid w:val="0018647A"/>
    <w:rsid w:val="00186959"/>
    <w:rsid w:val="00193AED"/>
    <w:rsid w:val="00194E42"/>
    <w:rsid w:val="00196116"/>
    <w:rsid w:val="001A0EC2"/>
    <w:rsid w:val="001A15C3"/>
    <w:rsid w:val="001A237F"/>
    <w:rsid w:val="001C3C43"/>
    <w:rsid w:val="001C5CCC"/>
    <w:rsid w:val="001D53E1"/>
    <w:rsid w:val="001D61DB"/>
    <w:rsid w:val="001D7AFC"/>
    <w:rsid w:val="00201A33"/>
    <w:rsid w:val="00203721"/>
    <w:rsid w:val="00205338"/>
    <w:rsid w:val="00221264"/>
    <w:rsid w:val="0024252E"/>
    <w:rsid w:val="00266B3D"/>
    <w:rsid w:val="0026711F"/>
    <w:rsid w:val="00296C5D"/>
    <w:rsid w:val="002B5E0C"/>
    <w:rsid w:val="002B79D9"/>
    <w:rsid w:val="002D0AB8"/>
    <w:rsid w:val="002F3D63"/>
    <w:rsid w:val="002F4B24"/>
    <w:rsid w:val="002F7386"/>
    <w:rsid w:val="00300695"/>
    <w:rsid w:val="00300EFA"/>
    <w:rsid w:val="003149FB"/>
    <w:rsid w:val="003342A0"/>
    <w:rsid w:val="00351E35"/>
    <w:rsid w:val="00354506"/>
    <w:rsid w:val="003767C2"/>
    <w:rsid w:val="0037691D"/>
    <w:rsid w:val="00381489"/>
    <w:rsid w:val="003835A1"/>
    <w:rsid w:val="0038383D"/>
    <w:rsid w:val="00387DF2"/>
    <w:rsid w:val="00390EE1"/>
    <w:rsid w:val="003A7F94"/>
    <w:rsid w:val="003C2648"/>
    <w:rsid w:val="003D01E0"/>
    <w:rsid w:val="003D73E8"/>
    <w:rsid w:val="003E21C0"/>
    <w:rsid w:val="003E3189"/>
    <w:rsid w:val="003F0F28"/>
    <w:rsid w:val="0040251E"/>
    <w:rsid w:val="0040274F"/>
    <w:rsid w:val="00405B66"/>
    <w:rsid w:val="0041785C"/>
    <w:rsid w:val="00422D1F"/>
    <w:rsid w:val="004246AC"/>
    <w:rsid w:val="00440452"/>
    <w:rsid w:val="00440F4C"/>
    <w:rsid w:val="004642E7"/>
    <w:rsid w:val="00465F9B"/>
    <w:rsid w:val="00471740"/>
    <w:rsid w:val="00474E33"/>
    <w:rsid w:val="00476BF1"/>
    <w:rsid w:val="004823E9"/>
    <w:rsid w:val="004929BB"/>
    <w:rsid w:val="00497B5B"/>
    <w:rsid w:val="004B2BD6"/>
    <w:rsid w:val="004B4772"/>
    <w:rsid w:val="004D54A3"/>
    <w:rsid w:val="005026BC"/>
    <w:rsid w:val="00502B10"/>
    <w:rsid w:val="00510022"/>
    <w:rsid w:val="00515DA7"/>
    <w:rsid w:val="00522EAF"/>
    <w:rsid w:val="005302BD"/>
    <w:rsid w:val="00534FD6"/>
    <w:rsid w:val="00550BB2"/>
    <w:rsid w:val="005561C6"/>
    <w:rsid w:val="00564CD4"/>
    <w:rsid w:val="005774A8"/>
    <w:rsid w:val="005A6231"/>
    <w:rsid w:val="005A6FA5"/>
    <w:rsid w:val="005E3991"/>
    <w:rsid w:val="00602B76"/>
    <w:rsid w:val="00612747"/>
    <w:rsid w:val="006169EE"/>
    <w:rsid w:val="00621C7B"/>
    <w:rsid w:val="006227AC"/>
    <w:rsid w:val="006352C7"/>
    <w:rsid w:val="006446EE"/>
    <w:rsid w:val="006568BE"/>
    <w:rsid w:val="00681B9E"/>
    <w:rsid w:val="00683599"/>
    <w:rsid w:val="006A5656"/>
    <w:rsid w:val="006B02DB"/>
    <w:rsid w:val="006C2D15"/>
    <w:rsid w:val="006D1B99"/>
    <w:rsid w:val="006D312A"/>
    <w:rsid w:val="006D54FB"/>
    <w:rsid w:val="006F4CFC"/>
    <w:rsid w:val="00716164"/>
    <w:rsid w:val="00736C54"/>
    <w:rsid w:val="00737D8A"/>
    <w:rsid w:val="007456DF"/>
    <w:rsid w:val="007517C1"/>
    <w:rsid w:val="00793BC1"/>
    <w:rsid w:val="007C4866"/>
    <w:rsid w:val="007F4D9D"/>
    <w:rsid w:val="00803799"/>
    <w:rsid w:val="008138B0"/>
    <w:rsid w:val="008305E7"/>
    <w:rsid w:val="008612B4"/>
    <w:rsid w:val="0086260F"/>
    <w:rsid w:val="008745D7"/>
    <w:rsid w:val="00875037"/>
    <w:rsid w:val="00883BBF"/>
    <w:rsid w:val="00885580"/>
    <w:rsid w:val="0089410A"/>
    <w:rsid w:val="008A5FD3"/>
    <w:rsid w:val="008B3E47"/>
    <w:rsid w:val="008C414A"/>
    <w:rsid w:val="008D13B4"/>
    <w:rsid w:val="008D45EE"/>
    <w:rsid w:val="008E20FF"/>
    <w:rsid w:val="008E33B1"/>
    <w:rsid w:val="008F0213"/>
    <w:rsid w:val="00904EEB"/>
    <w:rsid w:val="009127FC"/>
    <w:rsid w:val="009225CE"/>
    <w:rsid w:val="00923D85"/>
    <w:rsid w:val="0093157C"/>
    <w:rsid w:val="009573FD"/>
    <w:rsid w:val="0097077D"/>
    <w:rsid w:val="00974FC4"/>
    <w:rsid w:val="009863EB"/>
    <w:rsid w:val="00986C29"/>
    <w:rsid w:val="009B728E"/>
    <w:rsid w:val="009B7371"/>
    <w:rsid w:val="009C4FCD"/>
    <w:rsid w:val="009E30A0"/>
    <w:rsid w:val="009F48FC"/>
    <w:rsid w:val="00A01E1D"/>
    <w:rsid w:val="00A065C8"/>
    <w:rsid w:val="00A10356"/>
    <w:rsid w:val="00A13716"/>
    <w:rsid w:val="00A16180"/>
    <w:rsid w:val="00A40393"/>
    <w:rsid w:val="00A42168"/>
    <w:rsid w:val="00A51DF3"/>
    <w:rsid w:val="00A74856"/>
    <w:rsid w:val="00A767D7"/>
    <w:rsid w:val="00A8721A"/>
    <w:rsid w:val="00A9169C"/>
    <w:rsid w:val="00AA54B1"/>
    <w:rsid w:val="00AA6BCF"/>
    <w:rsid w:val="00AB5CAB"/>
    <w:rsid w:val="00AC7F20"/>
    <w:rsid w:val="00AD437C"/>
    <w:rsid w:val="00B408A4"/>
    <w:rsid w:val="00B43BCD"/>
    <w:rsid w:val="00B44B81"/>
    <w:rsid w:val="00B46701"/>
    <w:rsid w:val="00B56A6F"/>
    <w:rsid w:val="00BA2DFE"/>
    <w:rsid w:val="00BA5594"/>
    <w:rsid w:val="00BB403E"/>
    <w:rsid w:val="00BC25D3"/>
    <w:rsid w:val="00BC4454"/>
    <w:rsid w:val="00BC5A15"/>
    <w:rsid w:val="00BC5F1B"/>
    <w:rsid w:val="00BC6FA4"/>
    <w:rsid w:val="00BC7A6A"/>
    <w:rsid w:val="00BE065B"/>
    <w:rsid w:val="00C076F5"/>
    <w:rsid w:val="00C35D69"/>
    <w:rsid w:val="00C42DC8"/>
    <w:rsid w:val="00C7577F"/>
    <w:rsid w:val="00C77E64"/>
    <w:rsid w:val="00C8061C"/>
    <w:rsid w:val="00C826D5"/>
    <w:rsid w:val="00C82918"/>
    <w:rsid w:val="00C91D75"/>
    <w:rsid w:val="00C920D1"/>
    <w:rsid w:val="00C93A87"/>
    <w:rsid w:val="00CC4064"/>
    <w:rsid w:val="00D0468D"/>
    <w:rsid w:val="00D250B3"/>
    <w:rsid w:val="00D305B0"/>
    <w:rsid w:val="00D35C45"/>
    <w:rsid w:val="00D43625"/>
    <w:rsid w:val="00D61D5A"/>
    <w:rsid w:val="00D67AE2"/>
    <w:rsid w:val="00D707B2"/>
    <w:rsid w:val="00DA343A"/>
    <w:rsid w:val="00DA3805"/>
    <w:rsid w:val="00DB7979"/>
    <w:rsid w:val="00DC2625"/>
    <w:rsid w:val="00DC7D26"/>
    <w:rsid w:val="00DD3D44"/>
    <w:rsid w:val="00DD3DBB"/>
    <w:rsid w:val="00DD47A7"/>
    <w:rsid w:val="00DE4F2A"/>
    <w:rsid w:val="00E27BE8"/>
    <w:rsid w:val="00E42246"/>
    <w:rsid w:val="00E4579E"/>
    <w:rsid w:val="00E45D3B"/>
    <w:rsid w:val="00E47FB3"/>
    <w:rsid w:val="00E51FBD"/>
    <w:rsid w:val="00E57FBA"/>
    <w:rsid w:val="00E9160B"/>
    <w:rsid w:val="00EA3F5C"/>
    <w:rsid w:val="00EA5157"/>
    <w:rsid w:val="00EB0A3D"/>
    <w:rsid w:val="00EC522E"/>
    <w:rsid w:val="00F10097"/>
    <w:rsid w:val="00F31721"/>
    <w:rsid w:val="00F37301"/>
    <w:rsid w:val="00F404C3"/>
    <w:rsid w:val="00F43131"/>
    <w:rsid w:val="00F64426"/>
    <w:rsid w:val="00F86D19"/>
    <w:rsid w:val="00F92EA1"/>
    <w:rsid w:val="00FA2DBB"/>
    <w:rsid w:val="00FB1C8B"/>
    <w:rsid w:val="00FC0BC3"/>
    <w:rsid w:val="00FC58B6"/>
    <w:rsid w:val="00FE7CC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5464"/>
  <w15:docId w15:val="{BA9D89F7-87F5-434A-BF5E-DA21ED0A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sq-A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8359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61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561C6"/>
  </w:style>
  <w:style w:type="paragraph" w:styleId="Footer">
    <w:name w:val="footer"/>
    <w:basedOn w:val="Normal"/>
    <w:link w:val="FooterChar"/>
    <w:unhideWhenUsed/>
    <w:rsid w:val="005561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1C6"/>
  </w:style>
  <w:style w:type="character" w:styleId="Hyperlink">
    <w:name w:val="Hyperlink"/>
    <w:rsid w:val="00556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D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5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DA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D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D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D5A"/>
    <w:rPr>
      <w:vertAlign w:val="superscript"/>
    </w:rPr>
  </w:style>
  <w:style w:type="paragraph" w:styleId="Revision">
    <w:name w:val="Revision"/>
    <w:hidden/>
    <w:uiPriority w:val="99"/>
    <w:semiHidden/>
    <w:rsid w:val="000521C1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C48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apple-tab-span">
    <w:name w:val="apple-tab-span"/>
    <w:basedOn w:val="DefaultParagraphFont"/>
    <w:rsid w:val="006A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hc.org.al" TargetMode="External"/><Relationship Id="rId1" Type="http://schemas.openxmlformats.org/officeDocument/2006/relationships/hyperlink" Target="mailto:office@ahc.org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5E32-E0FE-420C-8EB1-55C37FA6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1037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User;Eriselda Ndreca</dc:creator>
  <cp:lastModifiedBy>Osiana</cp:lastModifiedBy>
  <cp:revision>2</cp:revision>
  <cp:lastPrinted>2025-03-18T13:54:00Z</cp:lastPrinted>
  <dcterms:created xsi:type="dcterms:W3CDTF">2025-08-07T07:40:00Z</dcterms:created>
  <dcterms:modified xsi:type="dcterms:W3CDTF">2025-08-07T07:40:00Z</dcterms:modified>
</cp:coreProperties>
</file>